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86" w:rsidRPr="00294C86" w:rsidRDefault="00DE7103" w:rsidP="00294C8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it-IT"/>
        </w:rPr>
        <w:t>C</w:t>
      </w:r>
      <w:r w:rsidR="00294C86"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OMUNE DI BUSTO GAROLFO</w:t>
      </w: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Provincia di Milano</w:t>
      </w: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NOTA INFORMATIVA AI CITTADINI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Approvato il Bilancio di Previsione Triennale 2026-2028</w:t>
      </w:r>
    </w:p>
    <w:p w:rsidR="00294C86" w:rsidRPr="00294C86" w:rsidRDefault="00294C86" w:rsidP="00DE7103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Si informa la cittadinanza che l'Organo di Revisione Comunale ha espresso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parere favorevole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sullo schema del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Bilancio di Previsione 2026-2028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. Il documento contabile attesta che il Comune di Busto Garolfo gode di un'ottima stabilità economico-finanziaria: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l'Ente non è in disavanzo, non ha debiti fuori bilancio e presenta i conti in perfetto equilibrio su tutto il triennio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>Di seguito vengono illustrati l'andamento delle spese, delle tasse e del debito per i prossimi tre anni.</w:t>
      </w:r>
    </w:p>
    <w:p w:rsidR="00294C86" w:rsidRPr="00294C86" w:rsidRDefault="00EB4F3A" w:rsidP="00294C8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5" style="width:0;height:1.5pt" o:hralign="center" o:hrstd="t" o:hr="t" fillcolor="#a0a0a0" stroked="f"/>
        </w:pict>
      </w:r>
    </w:p>
    <w:p w:rsidR="00DE7103" w:rsidRPr="00DE7103" w:rsidRDefault="00294C86" w:rsidP="00DE7103">
      <w:pPr>
        <w:pStyle w:val="NormaleWeb"/>
      </w:pPr>
      <w:r w:rsidRPr="00294C86">
        <w:rPr>
          <w:rFonts w:ascii="Segoe UI Symbol" w:hAnsi="Segoe UI Symbol" w:cs="Segoe UI Symbol"/>
          <w:b/>
          <w:bCs/>
          <w:sz w:val="30"/>
          <w:szCs w:val="30"/>
        </w:rPr>
        <w:t>📉</w:t>
      </w:r>
      <w:bookmarkStart w:id="0" w:name="_GoBack"/>
      <w:bookmarkEnd w:id="0"/>
    </w:p>
    <w:p w:rsidR="00294C86" w:rsidRPr="00294C86" w:rsidRDefault="00294C86" w:rsidP="00294C8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 xml:space="preserve"> Spese e Investimenti: Come cambiano le cifre nel triennio</w:t>
      </w:r>
    </w:p>
    <w:p w:rsidR="00294C86" w:rsidRPr="00294C86" w:rsidRDefault="00294C86" w:rsidP="00DE7103">
      <w:pPr>
        <w:spacing w:before="480" w:after="48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>Il bilancio comunale si adegua alle scadenze dei grandi progetti. Dopo un 2026 caratterizzato da una massiccia quota di investimenti, le cifre si stabilizzeranno nei due anni successivi.</w:t>
      </w:r>
    </w:p>
    <w:p w:rsidR="00294C86" w:rsidRPr="00294C86" w:rsidRDefault="00294C86" w:rsidP="00294C86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lastRenderedPageBreak/>
        <w:t>2026 (Bilancio Totale: € 18.096.455,56)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Anno focalizzato sulle opere pubbliche con ben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€ 5,51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destinati a investimenti e circa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€ 9,98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per i servizi quotidiani (scuole, manutenzioni, personale).</w:t>
      </w:r>
    </w:p>
    <w:p w:rsidR="00294C86" w:rsidRPr="00294C86" w:rsidRDefault="00294C86" w:rsidP="00294C86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2027 (Bilancio Totale: € 12.885.691,73)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Le spese correnti di gestione scendono 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€ 9,76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, mentre le spese per investimenti si attestano 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€ 525.000,00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294C86" w:rsidRDefault="00294C86" w:rsidP="00294C86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2028 (Bilancio Totale: € 12.858.398,32)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Consolidamento finale in linea con l'anno precedente, con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€ 9,75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per la spesa corrente e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€ 525.000,00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per gli investimenti.</w:t>
      </w:r>
    </w:p>
    <w:p w:rsidR="00EB4F3A" w:rsidRDefault="00EB4F3A" w:rsidP="00EB4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:rsidR="00EB4F3A" w:rsidRPr="00294C86" w:rsidRDefault="00EB4F3A" w:rsidP="00EB4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DE7103">
        <w:rPr>
          <w:noProof/>
        </w:rPr>
        <w:drawing>
          <wp:inline distT="0" distB="0" distL="0" distR="0" wp14:anchorId="0C1EFE60" wp14:editId="1C115935">
            <wp:extent cx="6120130" cy="3459204"/>
            <wp:effectExtent l="0" t="0" r="0" b="8255"/>
            <wp:docPr id="1" name="Immagine 1" descr="C:\Users\cont1\Downloads\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ont1\Downloads\download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5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:rsidR="00294C86" w:rsidRPr="00294C86" w:rsidRDefault="00EB4F3A" w:rsidP="00294C8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6" style="width:0;height:1.5pt" o:hralign="center" o:hrstd="t" o:hr="t" fillcolor="#a0a0a0" stroked="f"/>
        </w:pict>
      </w:r>
    </w:p>
    <w:p w:rsidR="00294C86" w:rsidRPr="00294C86" w:rsidRDefault="00294C86" w:rsidP="00294C8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94C86">
        <w:rPr>
          <w:rFonts w:ascii="Segoe UI Symbol" w:eastAsia="Times New Roman" w:hAnsi="Segoe UI Symbol" w:cs="Segoe UI Symbol"/>
          <w:b/>
          <w:bCs/>
          <w:sz w:val="30"/>
          <w:szCs w:val="30"/>
          <w:lang w:eastAsia="it-IT"/>
        </w:rPr>
        <w:t>🏠</w:t>
      </w:r>
      <w:r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 xml:space="preserve"> Tasse e Tributi Locali: Stabilità per i cittadini</w:t>
      </w: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L'Amministrazione Comunale garantisce la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continuità della pressione fiscale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, bloccando le tariffe e confermando le agevolazioni per le famiglie a minor reddito per tutti e tre gli anni.</w:t>
      </w:r>
    </w:p>
    <w:p w:rsidR="00294C86" w:rsidRPr="00294C86" w:rsidRDefault="00294C86" w:rsidP="00294C86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Addizionale IRPEF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Resta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invariata fino al 2028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, mantenendo la totale esenzione per i redditi fino a € 15.000,00.</w:t>
      </w:r>
    </w:p>
    <w:p w:rsidR="00294C86" w:rsidRPr="00294C86" w:rsidRDefault="00294C86" w:rsidP="00294C86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IMU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Proventi stimati stabili 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€ 1,87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nel 2026 e in leggera crescita fisiologica 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€ 1,88 milioni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per il 2027 e il 2028, senza alcun aumento delle aliquote per i cittadini.</w:t>
      </w:r>
    </w:p>
    <w:p w:rsidR="00294C86" w:rsidRPr="00294C86" w:rsidRDefault="00294C86" w:rsidP="00294C86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TARI (Tassa Rifiuti)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Prevista a quota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€ 1,89 milioni all'anno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per l'intero triennio. La tariffa finale sarà ufficializzata dopo l'approvazione del nuovo Piano Economico del servizio.</w:t>
      </w:r>
    </w:p>
    <w:p w:rsidR="00294C86" w:rsidRPr="00294C86" w:rsidRDefault="00EB4F3A" w:rsidP="00294C8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7" style="width:0;height:1.5pt" o:hralign="center" o:hrstd="t" o:hr="t" fillcolor="#a0a0a0" stroked="f"/>
        </w:pict>
      </w:r>
    </w:p>
    <w:p w:rsidR="00294C86" w:rsidRPr="00294C86" w:rsidRDefault="00294C86" w:rsidP="00294C8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94C86">
        <w:rPr>
          <w:rFonts w:ascii="Segoe UI Symbol" w:eastAsia="Times New Roman" w:hAnsi="Segoe UI Symbol" w:cs="Segoe UI Symbol"/>
          <w:b/>
          <w:bCs/>
          <w:sz w:val="30"/>
          <w:szCs w:val="30"/>
          <w:lang w:eastAsia="it-IT"/>
        </w:rPr>
        <w:t>📉</w:t>
      </w:r>
      <w:r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 xml:space="preserve"> Zero Nuovi Mutui e Taglio Progressivo del Debito</w:t>
      </w:r>
    </w:p>
    <w:p w:rsid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La scelta strategica del Comune è quella di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non gravare sul futuro delle prossime generazioni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: l'Ente ha programmato di non accendere nessun nuovo prestito o mutuo tra il 2026 e il 2028.</w:t>
      </w:r>
    </w:p>
    <w:p w:rsidR="00DE7103" w:rsidRDefault="00DE7103" w:rsidP="00DE7103">
      <w:pPr>
        <w:pStyle w:val="NormaleWeb"/>
      </w:pPr>
      <w:r>
        <w:rPr>
          <w:noProof/>
        </w:rPr>
        <w:lastRenderedPageBreak/>
        <w:drawing>
          <wp:inline distT="0" distB="0" distL="0" distR="0">
            <wp:extent cx="5427394" cy="3076575"/>
            <wp:effectExtent l="0" t="0" r="1905" b="0"/>
            <wp:docPr id="4" name="Immagine 4" descr="C:\Users\cont1\Downloads\downloa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cont1\Downloads\download (2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660" cy="308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103" w:rsidRPr="00294C86" w:rsidRDefault="00DE7103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:rsidR="00294C86" w:rsidRPr="00294C86" w:rsidRDefault="00294C86" w:rsidP="00294C86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>Grazie al regolare pagamento delle vecchie rate (€ 5.788,80 all'anno), il debito storico del Comune crollerà progressivamente secondo questo schema:</w:t>
      </w:r>
    </w:p>
    <w:p w:rsidR="00294C86" w:rsidRPr="00294C86" w:rsidRDefault="00294C86" w:rsidP="00294C86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Inizio 2026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: € 23.155,21</w:t>
      </w:r>
    </w:p>
    <w:p w:rsidR="00294C86" w:rsidRPr="00294C86" w:rsidRDefault="00294C86" w:rsidP="00294C86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Fine 2026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: € 17.366,41</w:t>
      </w:r>
    </w:p>
    <w:p w:rsidR="00294C86" w:rsidRPr="00294C86" w:rsidRDefault="00294C86" w:rsidP="00294C86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Fine 2027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>: € 11.577,61</w:t>
      </w:r>
    </w:p>
    <w:p w:rsidR="00294C86" w:rsidRPr="00294C86" w:rsidRDefault="00294C86" w:rsidP="00294C86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Fine 2028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€ 5.788,81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294C86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(Debito quasi azzerato!)</w:t>
      </w:r>
    </w:p>
    <w:p w:rsidR="00294C86" w:rsidRPr="00294C86" w:rsidRDefault="00EB4F3A" w:rsidP="00294C8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8" style="width:0;height:1.5pt" o:hralign="center" o:hrstd="t" o:hr="t" fillcolor="#a0a0a0" stroked="f"/>
        </w:pict>
      </w:r>
    </w:p>
    <w:p w:rsidR="00294C86" w:rsidRPr="00294C86" w:rsidRDefault="00294C86" w:rsidP="00294C86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94C86">
        <w:rPr>
          <w:rFonts w:ascii="Segoe UI Symbol" w:eastAsia="Times New Roman" w:hAnsi="Segoe UI Symbol" w:cs="Segoe UI Symbol"/>
          <w:b/>
          <w:bCs/>
          <w:sz w:val="30"/>
          <w:szCs w:val="30"/>
          <w:lang w:eastAsia="it-IT"/>
        </w:rPr>
        <w:t>🛡</w:t>
      </w:r>
      <w:r w:rsidRPr="00294C86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️ Accantonamenti di Sicurezza per la Tutela delle Casse Comunali</w:t>
      </w:r>
    </w:p>
    <w:p w:rsidR="00294C86" w:rsidRPr="00294C86" w:rsidRDefault="00294C86" w:rsidP="00294C86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sz w:val="24"/>
          <w:szCs w:val="24"/>
          <w:lang w:eastAsia="it-IT"/>
        </w:rPr>
        <w:t>Per garantire una gestione prudente contro gli imprevisti, il Comune mantiene congelati importanti fondi precauzionali ogni anno:</w:t>
      </w:r>
    </w:p>
    <w:p w:rsidR="00294C86" w:rsidRPr="00294C86" w:rsidRDefault="00294C86" w:rsidP="00294C8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Fondo Crediti Dubbi (FCDE)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Circa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€ 495.000,00 all'anno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accantonati per tutelarsi contro eventuali ritardi o mancate riscossioni di tasse e sanzioni.</w:t>
      </w:r>
    </w:p>
    <w:p w:rsidR="00294C86" w:rsidRPr="00294C86" w:rsidRDefault="00294C86" w:rsidP="00294C86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Fondo di Riserva per Emergenze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: </w:t>
      </w:r>
      <w:r w:rsidRPr="00294C8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€ 800.000,00</w:t>
      </w:r>
      <w:r w:rsidRPr="00294C86">
        <w:rPr>
          <w:rFonts w:ascii="Arial" w:eastAsia="Times New Roman" w:hAnsi="Arial" w:cs="Arial"/>
          <w:sz w:val="24"/>
          <w:szCs w:val="24"/>
          <w:lang w:eastAsia="it-IT"/>
        </w:rPr>
        <w:t xml:space="preserve"> liquidi sempre disponibili in cassa per far fronte a qualsiasi urgenza immediata del territorio.</w:t>
      </w:r>
    </w:p>
    <w:p w:rsidR="00294C86" w:rsidRPr="00294C86" w:rsidRDefault="00EB4F3A" w:rsidP="00294C8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9" style="width:0;height:1.5pt" o:hralign="center" o:hrstd="t" o:hr="t" fillcolor="#a0a0a0" stroked="f"/>
        </w:pict>
      </w:r>
    </w:p>
    <w:p w:rsidR="004A5C77" w:rsidRPr="00294C86" w:rsidRDefault="004A5C77" w:rsidP="00294C86"/>
    <w:sectPr w:rsidR="004A5C77" w:rsidRPr="00294C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338C8"/>
    <w:multiLevelType w:val="multilevel"/>
    <w:tmpl w:val="0028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80E06"/>
    <w:multiLevelType w:val="multilevel"/>
    <w:tmpl w:val="74EA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DF49F6"/>
    <w:multiLevelType w:val="multilevel"/>
    <w:tmpl w:val="58728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E07F8D"/>
    <w:multiLevelType w:val="multilevel"/>
    <w:tmpl w:val="1632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834264"/>
    <w:multiLevelType w:val="multilevel"/>
    <w:tmpl w:val="7A06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4D3F16"/>
    <w:multiLevelType w:val="multilevel"/>
    <w:tmpl w:val="DB50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86"/>
    <w:rsid w:val="00294C86"/>
    <w:rsid w:val="004A5C77"/>
    <w:rsid w:val="00DE7103"/>
    <w:rsid w:val="00EB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23D2221"/>
  <w15:chartTrackingRefBased/>
  <w15:docId w15:val="{DC9FE98E-486E-4C63-8E2D-BAEC9082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294C86"/>
    <w:rPr>
      <w:b/>
      <w:bCs/>
    </w:rPr>
  </w:style>
  <w:style w:type="character" w:customStyle="1" w:styleId="q224lc">
    <w:name w:val="q224lc"/>
    <w:basedOn w:val="Carpredefinitoparagrafo"/>
    <w:rsid w:val="00294C86"/>
  </w:style>
  <w:style w:type="character" w:customStyle="1" w:styleId="t286pc">
    <w:name w:val="t286pc"/>
    <w:basedOn w:val="Carpredefinitoparagrafo"/>
    <w:rsid w:val="00294C86"/>
  </w:style>
  <w:style w:type="character" w:styleId="Enfasicorsivo">
    <w:name w:val="Emphasis"/>
    <w:basedOn w:val="Carpredefinitoparagrafo"/>
    <w:uiPriority w:val="20"/>
    <w:qFormat/>
    <w:rsid w:val="00294C86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294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60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35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24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71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13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06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4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605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459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62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31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42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0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54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298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22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91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53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00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14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609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53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97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cont1</dc:creator>
  <cp:keywords/>
  <dc:description/>
  <cp:lastModifiedBy>cont1</cp:lastModifiedBy>
  <cp:revision>2</cp:revision>
  <dcterms:created xsi:type="dcterms:W3CDTF">2026-07-03T10:10:00Z</dcterms:created>
  <dcterms:modified xsi:type="dcterms:W3CDTF">2026-07-03T10:55:00Z</dcterms:modified>
</cp:coreProperties>
</file>